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 xml:space="preserve">Wypełniając obowiązek informacyjny z art. 14 ust. 1 i ust. 2 ogólnego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1E3C0719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</w:t>
      </w:r>
      <w:r w:rsidR="00E75ACB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 </w:t>
      </w: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17-230 Białowieża, adres e-mail: mripas@ibs.bialowieza.pl, tel.</w:t>
      </w:r>
      <w:r w:rsidR="00E75ACB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 </w:t>
      </w: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85 682 77 50.</w:t>
      </w:r>
    </w:p>
    <w:p w14:paraId="55489B4C" w14:textId="7EE3BF94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E66476"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  <w:t>powyżej z dopiskiem „Inspektor Ochrony Danych Osobowych”.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</w:t>
      </w:r>
      <w:bookmarkStart w:id="3" w:name="_GoBack"/>
      <w:bookmarkEnd w:id="3"/>
      <w:r w:rsidRPr="00B87D20">
        <w:rPr>
          <w:rFonts w:cstheme="minorHAnsi"/>
        </w:rPr>
        <w:t>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t xml:space="preserve">W celu skorzystania z powyższych praw można skontaktować się z Administratorem lub Inspektorem Ochrony Danych Osobowych na adresy poczty elektronicznej wskazane powyżej w </w:t>
      </w:r>
      <w:r w:rsidRPr="00B87D20">
        <w:rPr>
          <w:rFonts w:eastAsia="Calibri" w:cstheme="minorHAnsi"/>
        </w:rPr>
        <w:lastRenderedPageBreak/>
        <w:t xml:space="preserve">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2EFD" w14:textId="77777777" w:rsidR="0088633D" w:rsidRDefault="0088633D" w:rsidP="00A144EC">
      <w:pPr>
        <w:spacing w:after="0" w:line="240" w:lineRule="auto"/>
      </w:pPr>
      <w:r>
        <w:separator/>
      </w:r>
    </w:p>
  </w:endnote>
  <w:endnote w:type="continuationSeparator" w:id="0">
    <w:p w14:paraId="52B1555C" w14:textId="77777777" w:rsidR="0088633D" w:rsidRDefault="0088633D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603E" w14:textId="77777777" w:rsidR="0088633D" w:rsidRDefault="0088633D" w:rsidP="00A144EC">
      <w:pPr>
        <w:spacing w:after="0" w:line="240" w:lineRule="auto"/>
      </w:pPr>
      <w:r>
        <w:separator/>
      </w:r>
    </w:p>
  </w:footnote>
  <w:footnote w:type="continuationSeparator" w:id="0">
    <w:p w14:paraId="23903EE2" w14:textId="77777777" w:rsidR="0088633D" w:rsidRDefault="0088633D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4B03" w14:textId="45F6EA2F" w:rsidR="00A144EC" w:rsidRDefault="005E2406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2E70F6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/Z/202</w:t>
    </w:r>
    <w:r w:rsidR="00E76AB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, </w:t>
    </w:r>
    <w:r w:rsidR="00A144EC">
      <w:rPr>
        <w:rFonts w:ascii="Arial" w:hAnsi="Arial" w:cs="Arial"/>
        <w:sz w:val="20"/>
        <w:szCs w:val="20"/>
      </w:rPr>
      <w:t xml:space="preserve">załącznik nr </w:t>
    </w:r>
    <w:r w:rsidR="00B331B3">
      <w:rPr>
        <w:rFonts w:ascii="Arial" w:hAnsi="Arial" w:cs="Arial"/>
        <w:sz w:val="20"/>
        <w:szCs w:val="20"/>
      </w:rPr>
      <w:t>4</w:t>
    </w:r>
  </w:p>
  <w:p w14:paraId="46F00A27" w14:textId="77777777" w:rsidR="00A144EC" w:rsidRDefault="00A1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E70F6"/>
    <w:rsid w:val="002F60E8"/>
    <w:rsid w:val="003E6870"/>
    <w:rsid w:val="00473DBF"/>
    <w:rsid w:val="005E2406"/>
    <w:rsid w:val="007171D7"/>
    <w:rsid w:val="00793B82"/>
    <w:rsid w:val="008642B5"/>
    <w:rsid w:val="0088633D"/>
    <w:rsid w:val="008A0B87"/>
    <w:rsid w:val="008D6254"/>
    <w:rsid w:val="00954CD0"/>
    <w:rsid w:val="00A144EC"/>
    <w:rsid w:val="00AB511D"/>
    <w:rsid w:val="00AF0A95"/>
    <w:rsid w:val="00B331B3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75ACB"/>
    <w:rsid w:val="00E76ABB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9</cp:revision>
  <dcterms:created xsi:type="dcterms:W3CDTF">2021-06-24T09:50:00Z</dcterms:created>
  <dcterms:modified xsi:type="dcterms:W3CDTF">2022-02-02T14:18:00Z</dcterms:modified>
</cp:coreProperties>
</file>